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FACTURE</w:t>
      </w:r>
    </w:p>
    <w:p>
      <w:r>
        <w:rPr>
          <w:sz w:val="20"/>
        </w:rPr>
        <w:t>Modèle de facture esthéticienne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Pénalités de retard : 3 fois le taux d'intérêt légal. Indemnité forfaitaire de recouvrement : 40 EUR (clients professionnels).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mes-modeles.topexemples.fr/facture/estheticienne/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facture/estheticien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